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8AB" w:rsidRDefault="00AD18AB">
      <w:pPr>
        <w:pStyle w:val="Heading1"/>
        <w:spacing w:before="31"/>
        <w:ind w:left="1688" w:right="1705"/>
        <w:jc w:val="center"/>
      </w:pPr>
      <w:r>
        <w:rPr>
          <w:noProof/>
        </w:rPr>
        <w:drawing>
          <wp:inline distT="0" distB="0" distL="0" distR="0">
            <wp:extent cx="2559050" cy="2738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0581" cy="2740434"/>
                    </a:xfrm>
                    <a:prstGeom prst="rect">
                      <a:avLst/>
                    </a:prstGeom>
                  </pic:spPr>
                </pic:pic>
              </a:graphicData>
            </a:graphic>
          </wp:inline>
        </w:drawing>
      </w:r>
    </w:p>
    <w:p w:rsidR="00AD18AB" w:rsidRDefault="00AD18AB">
      <w:pPr>
        <w:pStyle w:val="Heading1"/>
        <w:spacing w:before="31"/>
        <w:ind w:left="1688" w:right="1705"/>
        <w:jc w:val="center"/>
      </w:pPr>
    </w:p>
    <w:p w:rsidR="0024493C" w:rsidRPr="00AD18AB" w:rsidRDefault="00AD18AB">
      <w:pPr>
        <w:pStyle w:val="Heading1"/>
        <w:spacing w:before="31"/>
        <w:ind w:left="1688" w:right="1705"/>
        <w:jc w:val="center"/>
        <w:rPr>
          <w:sz w:val="40"/>
          <w:szCs w:val="40"/>
        </w:rPr>
      </w:pPr>
      <w:r w:rsidRPr="00AD18AB">
        <w:rPr>
          <w:sz w:val="40"/>
          <w:szCs w:val="40"/>
        </w:rPr>
        <w:t>Brookdale Primary</w:t>
      </w:r>
      <w:r w:rsidR="008F1DFA" w:rsidRPr="00AD18AB">
        <w:rPr>
          <w:sz w:val="40"/>
          <w:szCs w:val="40"/>
        </w:rPr>
        <w:t xml:space="preserve"> S</w:t>
      </w:r>
      <w:r w:rsidRPr="00AD18AB">
        <w:rPr>
          <w:sz w:val="40"/>
          <w:szCs w:val="40"/>
        </w:rPr>
        <w:t>chool</w:t>
      </w:r>
    </w:p>
    <w:p w:rsidR="0024493C" w:rsidRPr="00AD18AB" w:rsidRDefault="0024493C">
      <w:pPr>
        <w:pStyle w:val="BodyText"/>
        <w:spacing w:before="1"/>
        <w:rPr>
          <w:b/>
          <w:sz w:val="40"/>
          <w:szCs w:val="40"/>
        </w:rPr>
      </w:pPr>
    </w:p>
    <w:p w:rsidR="0024493C" w:rsidRPr="00AD18AB" w:rsidRDefault="008F1DFA">
      <w:pPr>
        <w:ind w:left="1690" w:right="1705"/>
        <w:jc w:val="center"/>
        <w:rPr>
          <w:b/>
          <w:sz w:val="40"/>
          <w:szCs w:val="40"/>
        </w:rPr>
      </w:pPr>
      <w:r w:rsidRPr="00AD18AB">
        <w:rPr>
          <w:b/>
          <w:sz w:val="40"/>
          <w:szCs w:val="40"/>
        </w:rPr>
        <w:t xml:space="preserve">CHARGING AND REMISSIONS POLICY </w:t>
      </w:r>
    </w:p>
    <w:p w:rsidR="0024493C" w:rsidRDefault="0024493C">
      <w:pPr>
        <w:pStyle w:val="BodyText"/>
        <w:spacing w:before="1"/>
        <w:rPr>
          <w:b/>
        </w:rPr>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AD18AB" w:rsidRDefault="00AD18AB">
      <w:pPr>
        <w:pStyle w:val="BodyText"/>
        <w:ind w:left="216" w:right="292"/>
      </w:pPr>
    </w:p>
    <w:p w:rsidR="0024493C" w:rsidRDefault="008F1DFA">
      <w:pPr>
        <w:pStyle w:val="BodyText"/>
        <w:ind w:left="216" w:right="292"/>
      </w:pPr>
      <w:r>
        <w:lastRenderedPageBreak/>
        <w:t xml:space="preserve">The governing body of </w:t>
      </w:r>
      <w:r w:rsidR="00AD18AB">
        <w:t>Brookdale Primary</w:t>
      </w:r>
      <w:r>
        <w:t xml:space="preserve"> School has adopted the following policy in connection with the matter of charging for school activities.</w:t>
      </w:r>
    </w:p>
    <w:p w:rsidR="0024493C" w:rsidRDefault="0024493C">
      <w:pPr>
        <w:pStyle w:val="BodyText"/>
        <w:spacing w:before="1"/>
      </w:pPr>
    </w:p>
    <w:p w:rsidR="0024493C" w:rsidRDefault="008F1DFA">
      <w:pPr>
        <w:pStyle w:val="ListParagraph"/>
        <w:numPr>
          <w:ilvl w:val="0"/>
          <w:numId w:val="1"/>
        </w:numPr>
        <w:tabs>
          <w:tab w:val="left" w:pos="936"/>
          <w:tab w:val="left" w:pos="937"/>
        </w:tabs>
        <w:ind w:right="827"/>
      </w:pPr>
      <w:r>
        <w:t xml:space="preserve">The governing body endorses the policy of the </w:t>
      </w:r>
      <w:proofErr w:type="spellStart"/>
      <w:r>
        <w:t>Wirral</w:t>
      </w:r>
      <w:proofErr w:type="spellEnd"/>
      <w:r>
        <w:t xml:space="preserve"> Local Authority (LA) with respect to charging for school activities. This policy backs the principles</w:t>
      </w:r>
      <w:r>
        <w:rPr>
          <w:spacing w:val="-33"/>
        </w:rPr>
        <w:t xml:space="preserve"> </w:t>
      </w:r>
      <w:r>
        <w:t>that</w:t>
      </w:r>
    </w:p>
    <w:p w:rsidR="0024493C" w:rsidRDefault="008F1DFA">
      <w:pPr>
        <w:pStyle w:val="BodyText"/>
        <w:ind w:left="936" w:right="269"/>
      </w:pPr>
      <w:r>
        <w:t xml:space="preserve">education in maintained schools should be free and that no pupil’s education should be affected by his or her parents’ / </w:t>
      </w:r>
      <w:proofErr w:type="spellStart"/>
      <w:r>
        <w:t>carers’</w:t>
      </w:r>
      <w:proofErr w:type="spellEnd"/>
      <w:r>
        <w:t xml:space="preserve"> unwillingness or inability to pay or</w:t>
      </w:r>
    </w:p>
    <w:p w:rsidR="0024493C" w:rsidRDefault="008F1DFA">
      <w:pPr>
        <w:pStyle w:val="BodyText"/>
        <w:spacing w:before="1"/>
        <w:ind w:left="936"/>
      </w:pPr>
      <w:r>
        <w:t>contribute towards the cost of the pupil’s education.</w:t>
      </w:r>
    </w:p>
    <w:p w:rsidR="0024493C" w:rsidRDefault="0024493C">
      <w:pPr>
        <w:pStyle w:val="BodyText"/>
        <w:spacing w:before="1"/>
      </w:pPr>
    </w:p>
    <w:p w:rsidR="0024493C" w:rsidRDefault="008F1DFA">
      <w:pPr>
        <w:pStyle w:val="ListParagraph"/>
        <w:numPr>
          <w:ilvl w:val="0"/>
          <w:numId w:val="1"/>
        </w:numPr>
        <w:tabs>
          <w:tab w:val="left" w:pos="936"/>
          <w:tab w:val="left" w:pos="937"/>
        </w:tabs>
        <w:ind w:right="487"/>
      </w:pPr>
      <w:r>
        <w:t>Pupils should not have to pay for any materials, books, instruments or other equipment which they use in connection with education provided during school hours. However, the school may charge for, or ask for ingredients or materials for, practical subjects where parents have said that they want to own the finished product.</w:t>
      </w:r>
    </w:p>
    <w:p w:rsidR="0024493C" w:rsidRDefault="0024493C">
      <w:pPr>
        <w:pStyle w:val="BodyText"/>
        <w:spacing w:before="9"/>
        <w:rPr>
          <w:sz w:val="21"/>
        </w:rPr>
      </w:pPr>
    </w:p>
    <w:p w:rsidR="0024493C" w:rsidRDefault="0024493C">
      <w:pPr>
        <w:pStyle w:val="BodyText"/>
        <w:spacing w:before="1"/>
      </w:pPr>
    </w:p>
    <w:p w:rsidR="0024493C" w:rsidRDefault="008F1DFA">
      <w:pPr>
        <w:pStyle w:val="ListParagraph"/>
        <w:numPr>
          <w:ilvl w:val="0"/>
          <w:numId w:val="1"/>
        </w:numPr>
        <w:tabs>
          <w:tab w:val="left" w:pos="936"/>
          <w:tab w:val="left" w:pos="937"/>
        </w:tabs>
        <w:ind w:right="442"/>
      </w:pPr>
      <w:r>
        <w:t>The school will charge for board lodging</w:t>
      </w:r>
      <w:r w:rsidR="00AD18AB">
        <w:t xml:space="preserve"> and travel to and from</w:t>
      </w:r>
      <w:r>
        <w:t xml:space="preserve"> residential </w:t>
      </w:r>
      <w:proofErr w:type="spellStart"/>
      <w:r>
        <w:t>centres</w:t>
      </w:r>
      <w:proofErr w:type="spellEnd"/>
      <w:r>
        <w:t xml:space="preserve">. Remission on these charges will be available if the parents / </w:t>
      </w:r>
      <w:proofErr w:type="spellStart"/>
      <w:r>
        <w:t>carers</w:t>
      </w:r>
      <w:proofErr w:type="spellEnd"/>
      <w:r>
        <w:t xml:space="preserve"> are in receipt of the following benefits when the visit takes</w:t>
      </w:r>
      <w:r>
        <w:rPr>
          <w:spacing w:val="-13"/>
        </w:rPr>
        <w:t xml:space="preserve"> </w:t>
      </w:r>
      <w:r>
        <w:t>place:</w:t>
      </w:r>
    </w:p>
    <w:p w:rsidR="0024493C" w:rsidRDefault="0024493C">
      <w:pPr>
        <w:pStyle w:val="BodyText"/>
        <w:spacing w:before="4"/>
      </w:pPr>
    </w:p>
    <w:p w:rsidR="0024493C" w:rsidRDefault="008F1DFA">
      <w:pPr>
        <w:pStyle w:val="ListParagraph"/>
        <w:numPr>
          <w:ilvl w:val="1"/>
          <w:numId w:val="1"/>
        </w:numPr>
        <w:tabs>
          <w:tab w:val="left" w:pos="1656"/>
          <w:tab w:val="left" w:pos="1657"/>
        </w:tabs>
        <w:spacing w:line="279" w:lineRule="exact"/>
      </w:pPr>
      <w:r>
        <w:t>Income</w:t>
      </w:r>
      <w:r>
        <w:rPr>
          <w:spacing w:val="-3"/>
        </w:rPr>
        <w:t xml:space="preserve"> </w:t>
      </w:r>
      <w:r>
        <w:t>Support</w:t>
      </w:r>
    </w:p>
    <w:p w:rsidR="0024493C" w:rsidRDefault="008F1DFA">
      <w:pPr>
        <w:pStyle w:val="ListParagraph"/>
        <w:numPr>
          <w:ilvl w:val="1"/>
          <w:numId w:val="1"/>
        </w:numPr>
        <w:tabs>
          <w:tab w:val="left" w:pos="1656"/>
          <w:tab w:val="left" w:pos="1657"/>
        </w:tabs>
        <w:spacing w:line="279" w:lineRule="exact"/>
      </w:pPr>
      <w:r>
        <w:t>Income based Jobseeker’s</w:t>
      </w:r>
      <w:r>
        <w:rPr>
          <w:spacing w:val="-8"/>
        </w:rPr>
        <w:t xml:space="preserve"> </w:t>
      </w:r>
      <w:r>
        <w:t>Allowance</w:t>
      </w:r>
    </w:p>
    <w:p w:rsidR="0024493C" w:rsidRDefault="008F1DFA">
      <w:pPr>
        <w:pStyle w:val="ListParagraph"/>
        <w:numPr>
          <w:ilvl w:val="1"/>
          <w:numId w:val="1"/>
        </w:numPr>
        <w:tabs>
          <w:tab w:val="left" w:pos="1656"/>
          <w:tab w:val="left" w:pos="1657"/>
        </w:tabs>
        <w:spacing w:before="3" w:line="280" w:lineRule="exact"/>
      </w:pPr>
      <w:r>
        <w:t>Income related Employment and Support</w:t>
      </w:r>
      <w:r>
        <w:rPr>
          <w:spacing w:val="-16"/>
        </w:rPr>
        <w:t xml:space="preserve"> </w:t>
      </w:r>
      <w:r>
        <w:t>Allowance</w:t>
      </w:r>
    </w:p>
    <w:p w:rsidR="0024493C" w:rsidRDefault="008F1DFA">
      <w:pPr>
        <w:pStyle w:val="ListParagraph"/>
        <w:numPr>
          <w:ilvl w:val="1"/>
          <w:numId w:val="1"/>
        </w:numPr>
        <w:tabs>
          <w:tab w:val="left" w:pos="1656"/>
          <w:tab w:val="left" w:pos="1657"/>
        </w:tabs>
        <w:spacing w:line="279" w:lineRule="exact"/>
      </w:pPr>
      <w:r>
        <w:t>Support under Part VI of the Immigration and Asylum Act</w:t>
      </w:r>
      <w:r>
        <w:rPr>
          <w:spacing w:val="-24"/>
        </w:rPr>
        <w:t xml:space="preserve"> </w:t>
      </w:r>
      <w:r>
        <w:t>1999</w:t>
      </w:r>
    </w:p>
    <w:p w:rsidR="0024493C" w:rsidRDefault="008F1DFA">
      <w:pPr>
        <w:pStyle w:val="ListParagraph"/>
        <w:numPr>
          <w:ilvl w:val="1"/>
          <w:numId w:val="1"/>
        </w:numPr>
        <w:tabs>
          <w:tab w:val="left" w:pos="1656"/>
          <w:tab w:val="left" w:pos="1657"/>
        </w:tabs>
        <w:spacing w:line="279" w:lineRule="exact"/>
      </w:pPr>
      <w:r>
        <w:t>The guaranteed element of Pension</w:t>
      </w:r>
      <w:r>
        <w:rPr>
          <w:spacing w:val="-14"/>
        </w:rPr>
        <w:t xml:space="preserve"> </w:t>
      </w:r>
      <w:r>
        <w:t>Credit</w:t>
      </w:r>
    </w:p>
    <w:p w:rsidR="0024493C" w:rsidRDefault="008F1DFA">
      <w:pPr>
        <w:pStyle w:val="ListParagraph"/>
        <w:numPr>
          <w:ilvl w:val="1"/>
          <w:numId w:val="1"/>
        </w:numPr>
        <w:tabs>
          <w:tab w:val="left" w:pos="1656"/>
          <w:tab w:val="left" w:pos="1657"/>
        </w:tabs>
        <w:spacing w:before="7" w:line="235" w:lineRule="auto"/>
        <w:ind w:right="272"/>
      </w:pPr>
      <w:r>
        <w:t>Child Tax Credit (provided you’re not also entitled to Working Tax Credit and have an annual gross income of no more than</w:t>
      </w:r>
      <w:r>
        <w:rPr>
          <w:spacing w:val="-20"/>
        </w:rPr>
        <w:t xml:space="preserve"> </w:t>
      </w:r>
      <w:r>
        <w:t>£16,190)</w:t>
      </w:r>
    </w:p>
    <w:p w:rsidR="0024493C" w:rsidRDefault="008F1DFA">
      <w:pPr>
        <w:pStyle w:val="ListParagraph"/>
        <w:numPr>
          <w:ilvl w:val="1"/>
          <w:numId w:val="1"/>
        </w:numPr>
        <w:tabs>
          <w:tab w:val="left" w:pos="1656"/>
          <w:tab w:val="left" w:pos="1657"/>
        </w:tabs>
        <w:spacing w:before="10" w:line="235" w:lineRule="auto"/>
        <w:ind w:right="416"/>
      </w:pPr>
      <w:r>
        <w:t>Working Tax Credit run-on paid for four weeks after you stop qualifying for Working Tax</w:t>
      </w:r>
      <w:r>
        <w:rPr>
          <w:spacing w:val="-3"/>
        </w:rPr>
        <w:t xml:space="preserve"> </w:t>
      </w:r>
      <w:r>
        <w:t>Credit</w:t>
      </w:r>
    </w:p>
    <w:p w:rsidR="0024493C" w:rsidRDefault="008F1DFA">
      <w:pPr>
        <w:pStyle w:val="ListParagraph"/>
        <w:numPr>
          <w:ilvl w:val="1"/>
          <w:numId w:val="1"/>
        </w:numPr>
        <w:tabs>
          <w:tab w:val="left" w:pos="1657"/>
        </w:tabs>
        <w:spacing w:before="5"/>
        <w:ind w:right="728"/>
        <w:jc w:val="both"/>
      </w:pPr>
      <w:r>
        <w:t>Universal Credit – if you apply on or after 1</w:t>
      </w:r>
      <w:r>
        <w:rPr>
          <w:vertAlign w:val="superscript"/>
        </w:rPr>
        <w:t>st</w:t>
      </w:r>
      <w:r>
        <w:t xml:space="preserve"> April 2018 your household income must be less than £7,400 a year (after tax and not including any benefits you</w:t>
      </w:r>
      <w:r>
        <w:rPr>
          <w:spacing w:val="-6"/>
        </w:rPr>
        <w:t xml:space="preserve"> </w:t>
      </w:r>
      <w:r>
        <w:t>get).</w:t>
      </w:r>
    </w:p>
    <w:p w:rsidR="0024493C" w:rsidRDefault="008F1DFA">
      <w:pPr>
        <w:spacing w:before="1"/>
        <w:ind w:left="936"/>
        <w:jc w:val="both"/>
        <w:rPr>
          <w:i/>
        </w:rPr>
      </w:pPr>
      <w:r>
        <w:rPr>
          <w:i/>
        </w:rPr>
        <w:t>(Information correct as at October 2019)</w:t>
      </w:r>
    </w:p>
    <w:p w:rsidR="0024493C" w:rsidRDefault="0024493C">
      <w:pPr>
        <w:pStyle w:val="BodyText"/>
        <w:rPr>
          <w:i/>
        </w:rPr>
      </w:pPr>
    </w:p>
    <w:p w:rsidR="0024493C" w:rsidRDefault="008F1DFA">
      <w:pPr>
        <w:pStyle w:val="BodyText"/>
        <w:spacing w:before="1"/>
        <w:ind w:left="936" w:right="300"/>
      </w:pPr>
      <w:r>
        <w:t>There is no requirement to complete any forms and the cost will be met by the school from the school budget, school funds or Pupil Premium as determined by the Finance Committee. If the school does not have sufficient funds to meet these costs the Head Teacher may cancel the trip.</w:t>
      </w:r>
    </w:p>
    <w:p w:rsidR="0024493C" w:rsidRDefault="0024493C">
      <w:pPr>
        <w:pStyle w:val="BodyText"/>
        <w:spacing w:before="8"/>
        <w:rPr>
          <w:sz w:val="21"/>
        </w:rPr>
      </w:pPr>
    </w:p>
    <w:p w:rsidR="0024493C" w:rsidRDefault="008F1DFA">
      <w:pPr>
        <w:pStyle w:val="ListParagraph"/>
        <w:numPr>
          <w:ilvl w:val="0"/>
          <w:numId w:val="1"/>
        </w:numPr>
        <w:tabs>
          <w:tab w:val="left" w:pos="936"/>
          <w:tab w:val="left" w:pos="937"/>
        </w:tabs>
        <w:spacing w:before="1"/>
        <w:ind w:right="385"/>
      </w:pPr>
      <w:r>
        <w:t>School trips and visits form an important part of the curriculum offered by our school. Parents are not required to pay for such visits, but may be asked to make voluntary contributions towards the cost. No pupil will be excluded from a school trip because of their parents’ unwillingness or inability to contribute, however, it is hoped that parents will feel able to support the school in its efforts to provide a full and interesting curriculum for all its pupils. If the contributions made are</w:t>
      </w:r>
      <w:r>
        <w:rPr>
          <w:spacing w:val="-25"/>
        </w:rPr>
        <w:t xml:space="preserve"> </w:t>
      </w:r>
      <w:r>
        <w:t>not</w:t>
      </w:r>
    </w:p>
    <w:p w:rsidR="0024493C" w:rsidRDefault="0024493C">
      <w:pPr>
        <w:sectPr w:rsidR="0024493C">
          <w:footerReference w:type="default" r:id="rId8"/>
          <w:type w:val="continuous"/>
          <w:pgSz w:w="11910" w:h="16840"/>
          <w:pgMar w:top="1080" w:right="1560" w:bottom="960" w:left="1580" w:header="720" w:footer="776" w:gutter="0"/>
          <w:pgNumType w:start="1"/>
          <w:cols w:space="720"/>
        </w:sectPr>
      </w:pPr>
    </w:p>
    <w:p w:rsidR="0024493C" w:rsidRDefault="008F1DFA">
      <w:pPr>
        <w:pStyle w:val="BodyText"/>
        <w:spacing w:before="31"/>
        <w:ind w:left="936" w:right="224"/>
      </w:pPr>
      <w:r>
        <w:lastRenderedPageBreak/>
        <w:t xml:space="preserve">sufficient to enable a planned trip to take place, the Headteacher may cancel the trip or make such changes to the </w:t>
      </w:r>
      <w:proofErr w:type="spellStart"/>
      <w:r>
        <w:t>organisation</w:t>
      </w:r>
      <w:proofErr w:type="spellEnd"/>
      <w:r>
        <w:t xml:space="preserve"> of the trip as he/she thinks necessary.</w:t>
      </w:r>
    </w:p>
    <w:p w:rsidR="0024493C" w:rsidRDefault="008F1DFA">
      <w:pPr>
        <w:pStyle w:val="BodyText"/>
        <w:spacing w:before="1"/>
        <w:ind w:left="936" w:right="564"/>
      </w:pPr>
      <w:r>
        <w:t>Remission of these charges will be available if the parents/</w:t>
      </w:r>
      <w:proofErr w:type="spellStart"/>
      <w:r>
        <w:t>carers</w:t>
      </w:r>
      <w:proofErr w:type="spellEnd"/>
      <w:r>
        <w:t xml:space="preserve"> are in receipt of the benefits listed in point </w:t>
      </w:r>
      <w:r w:rsidR="00E24D94">
        <w:t>3</w:t>
      </w:r>
      <w:r>
        <w:t>.</w:t>
      </w:r>
    </w:p>
    <w:p w:rsidR="0024493C" w:rsidRDefault="0024493C">
      <w:pPr>
        <w:pStyle w:val="BodyText"/>
        <w:spacing w:before="1"/>
      </w:pPr>
    </w:p>
    <w:p w:rsidR="0024493C" w:rsidRDefault="008F1DFA">
      <w:pPr>
        <w:pStyle w:val="ListParagraph"/>
        <w:numPr>
          <w:ilvl w:val="0"/>
          <w:numId w:val="1"/>
        </w:numPr>
        <w:tabs>
          <w:tab w:val="left" w:pos="936"/>
          <w:tab w:val="left" w:pos="937"/>
        </w:tabs>
        <w:ind w:right="314"/>
      </w:pPr>
      <w:r>
        <w:t>For activities defined as “optional extras” under the Education Act 1996, the school will charge for board and lodging, travel, materials, books or other equipment, entrance fees, teaching and non-teaching staff and any other costs for providing the activity. If parents would like their children to take part in such activities but are unable to meet the full cost, financial assistance may be available; the Headteacher is happy to talk to parents in confidence about that</w:t>
      </w:r>
      <w:r>
        <w:rPr>
          <w:spacing w:val="-19"/>
        </w:rPr>
        <w:t xml:space="preserve"> </w:t>
      </w:r>
      <w:r>
        <w:t>possibility.</w:t>
      </w:r>
    </w:p>
    <w:p w:rsidR="0024493C" w:rsidRDefault="0024493C">
      <w:pPr>
        <w:pStyle w:val="BodyText"/>
        <w:spacing w:before="2"/>
      </w:pPr>
    </w:p>
    <w:p w:rsidR="0024493C" w:rsidRDefault="008F1DFA">
      <w:pPr>
        <w:pStyle w:val="ListParagraph"/>
        <w:numPr>
          <w:ilvl w:val="0"/>
          <w:numId w:val="1"/>
        </w:numPr>
        <w:tabs>
          <w:tab w:val="left" w:pos="936"/>
          <w:tab w:val="left" w:pos="937"/>
        </w:tabs>
        <w:ind w:right="600"/>
      </w:pPr>
      <w:r>
        <w:t>Parents may be asked for payment towards the cost of repairing or replacing any part of the fabric of the school or any item of school property which has been damaged or lost as a result of their child’s</w:t>
      </w:r>
      <w:r>
        <w:rPr>
          <w:spacing w:val="-16"/>
        </w:rPr>
        <w:t xml:space="preserve"> </w:t>
      </w:r>
      <w:proofErr w:type="spellStart"/>
      <w:r>
        <w:t>behaviour</w:t>
      </w:r>
      <w:proofErr w:type="spellEnd"/>
      <w:r>
        <w:t>.</w:t>
      </w:r>
    </w:p>
    <w:p w:rsidR="0024493C" w:rsidRDefault="0024493C">
      <w:pPr>
        <w:pStyle w:val="BodyText"/>
        <w:spacing w:before="1"/>
        <w:rPr>
          <w:i/>
        </w:rPr>
      </w:pPr>
    </w:p>
    <w:p w:rsidR="0024493C" w:rsidRDefault="0024493C">
      <w:pPr>
        <w:pStyle w:val="BodyText"/>
        <w:spacing w:before="1"/>
      </w:pPr>
    </w:p>
    <w:p w:rsidR="0024493C" w:rsidRDefault="008F1DFA">
      <w:pPr>
        <w:pStyle w:val="ListParagraph"/>
        <w:numPr>
          <w:ilvl w:val="0"/>
          <w:numId w:val="1"/>
        </w:numPr>
        <w:tabs>
          <w:tab w:val="left" w:pos="936"/>
          <w:tab w:val="left" w:pos="937"/>
        </w:tabs>
        <w:ind w:right="255"/>
      </w:pPr>
      <w:r>
        <w:t>The school will charge for instrumental music tuition provided either individually or to groups of any size, provided that the tuition is at the request of the pupil’s</w:t>
      </w:r>
      <w:r>
        <w:rPr>
          <w:spacing w:val="-32"/>
        </w:rPr>
        <w:t xml:space="preserve"> </w:t>
      </w:r>
      <w:r>
        <w:t>parent.</w:t>
      </w:r>
    </w:p>
    <w:p w:rsidR="0024493C" w:rsidRDefault="0024493C">
      <w:pPr>
        <w:pStyle w:val="BodyText"/>
        <w:spacing w:before="1"/>
      </w:pPr>
    </w:p>
    <w:p w:rsidR="0024493C" w:rsidRDefault="008F1DFA">
      <w:pPr>
        <w:pStyle w:val="ListParagraph"/>
        <w:numPr>
          <w:ilvl w:val="0"/>
          <w:numId w:val="1"/>
        </w:numPr>
        <w:tabs>
          <w:tab w:val="left" w:pos="936"/>
          <w:tab w:val="left" w:pos="937"/>
        </w:tabs>
        <w:ind w:right="456"/>
      </w:pPr>
      <w:r>
        <w:t>A “Schedule of Charges” will be compiled annually and agreed by the Governing Body. This will include any services provided by the school where a cost is incurred including music tuition, school</w:t>
      </w:r>
      <w:r>
        <w:rPr>
          <w:spacing w:val="-8"/>
        </w:rPr>
        <w:t xml:space="preserve"> </w:t>
      </w:r>
      <w:r>
        <w:t>lunches.</w:t>
      </w:r>
    </w:p>
    <w:p w:rsidR="0024493C" w:rsidRDefault="0024493C">
      <w:pPr>
        <w:pStyle w:val="BodyText"/>
        <w:spacing w:before="2"/>
      </w:pPr>
    </w:p>
    <w:p w:rsidR="0024493C" w:rsidRDefault="008F1DFA">
      <w:pPr>
        <w:pStyle w:val="ListParagraph"/>
        <w:numPr>
          <w:ilvl w:val="0"/>
          <w:numId w:val="1"/>
        </w:numPr>
        <w:tabs>
          <w:tab w:val="left" w:pos="936"/>
          <w:tab w:val="left" w:pos="937"/>
        </w:tabs>
        <w:ind w:right="992"/>
      </w:pPr>
      <w:r>
        <w:t xml:space="preserve">School meals may be given free of charge to visitors at the discretion of the Headteacher. </w:t>
      </w:r>
    </w:p>
    <w:p w:rsidR="0024493C" w:rsidRDefault="0024493C">
      <w:pPr>
        <w:pStyle w:val="BodyText"/>
        <w:spacing w:before="8"/>
        <w:rPr>
          <w:sz w:val="21"/>
        </w:rPr>
      </w:pPr>
    </w:p>
    <w:p w:rsidR="0024493C" w:rsidRDefault="008F1DFA">
      <w:pPr>
        <w:pStyle w:val="ListParagraph"/>
        <w:numPr>
          <w:ilvl w:val="0"/>
          <w:numId w:val="1"/>
        </w:numPr>
        <w:tabs>
          <w:tab w:val="left" w:pos="936"/>
          <w:tab w:val="left" w:pos="937"/>
        </w:tabs>
        <w:ind w:right="937"/>
      </w:pPr>
      <w:r>
        <w:t>The school operates a before/after school club which is an optional extra. All charges must be paid as listed on the schedule of</w:t>
      </w:r>
      <w:r>
        <w:rPr>
          <w:spacing w:val="-19"/>
        </w:rPr>
        <w:t xml:space="preserve"> </w:t>
      </w:r>
      <w:r>
        <w:t>charges.</w:t>
      </w:r>
    </w:p>
    <w:p w:rsidR="0024493C" w:rsidRDefault="0024493C">
      <w:pPr>
        <w:sectPr w:rsidR="0024493C">
          <w:pgSz w:w="11910" w:h="16840"/>
          <w:pgMar w:top="1080" w:right="1560" w:bottom="960" w:left="1580" w:header="0" w:footer="776" w:gutter="0"/>
          <w:cols w:space="720"/>
        </w:sectPr>
      </w:pPr>
    </w:p>
    <w:p w:rsidR="00E10D53" w:rsidRPr="008F1DFA" w:rsidRDefault="008F1DFA" w:rsidP="008F1DFA">
      <w:pPr>
        <w:jc w:val="center"/>
        <w:rPr>
          <w:b/>
          <w:sz w:val="38"/>
          <w:u w:val="single"/>
        </w:rPr>
      </w:pPr>
      <w:r w:rsidRPr="008F1DFA">
        <w:rPr>
          <w:b/>
          <w:sz w:val="38"/>
          <w:u w:val="single"/>
        </w:rPr>
        <w:lastRenderedPageBreak/>
        <w:t>Schedule of Charges</w:t>
      </w:r>
    </w:p>
    <w:p w:rsidR="008F1DFA" w:rsidRDefault="008F1DFA" w:rsidP="00E10D53">
      <w:pPr>
        <w:jc w:val="center"/>
        <w:rPr>
          <w:b/>
          <w:u w:val="single"/>
        </w:rPr>
      </w:pPr>
    </w:p>
    <w:p w:rsidR="008F1DFA" w:rsidRDefault="008F1DFA" w:rsidP="00E10D53">
      <w:pPr>
        <w:jc w:val="center"/>
        <w:rPr>
          <w:b/>
          <w:u w:val="single"/>
        </w:rPr>
      </w:pPr>
    </w:p>
    <w:p w:rsidR="007F3E7F" w:rsidRDefault="007F3E7F" w:rsidP="00E10D53">
      <w:pPr>
        <w:jc w:val="center"/>
        <w:rPr>
          <w:b/>
          <w:u w:val="single"/>
        </w:rPr>
      </w:pPr>
    </w:p>
    <w:p w:rsidR="007F3E7F" w:rsidRDefault="007F3E7F" w:rsidP="00E10D53">
      <w:pPr>
        <w:jc w:val="center"/>
        <w:rPr>
          <w:b/>
          <w:u w:val="single"/>
        </w:rPr>
      </w:pPr>
    </w:p>
    <w:p w:rsidR="007F3E7F" w:rsidRDefault="007F3E7F" w:rsidP="00E10D53">
      <w:pPr>
        <w:jc w:val="center"/>
        <w:rPr>
          <w:b/>
          <w:u w:val="single"/>
        </w:rPr>
      </w:pPr>
      <w:r w:rsidRPr="00CE0247">
        <w:rPr>
          <w:rFonts w:asciiTheme="minorHAnsi" w:hAnsiTheme="minorHAnsi"/>
          <w:noProof/>
          <w:sz w:val="24"/>
          <w:szCs w:val="24"/>
        </w:rPr>
        <w:drawing>
          <wp:anchor distT="0" distB="0" distL="114300" distR="114300" simplePos="0" relativeHeight="251659264" behindDoc="0" locked="0" layoutInCell="1" allowOverlap="1" wp14:anchorId="686CC8B2" wp14:editId="305C462F">
            <wp:simplePos x="0" y="0"/>
            <wp:positionH relativeFrom="column">
              <wp:posOffset>530225</wp:posOffset>
            </wp:positionH>
            <wp:positionV relativeFrom="paragraph">
              <wp:posOffset>7620</wp:posOffset>
            </wp:positionV>
            <wp:extent cx="638175" cy="721187"/>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21187"/>
                    </a:xfrm>
                    <a:prstGeom prst="rect">
                      <a:avLst/>
                    </a:prstGeom>
                    <a:noFill/>
                  </pic:spPr>
                </pic:pic>
              </a:graphicData>
            </a:graphic>
            <wp14:sizeRelH relativeFrom="page">
              <wp14:pctWidth>0</wp14:pctWidth>
            </wp14:sizeRelH>
            <wp14:sizeRelV relativeFrom="page">
              <wp14:pctHeight>0</wp14:pctHeight>
            </wp14:sizeRelV>
          </wp:anchor>
        </w:drawing>
      </w:r>
      <w:r>
        <w:rPr>
          <w:b/>
          <w:u w:val="single"/>
        </w:rPr>
        <w:t>Early Years</w:t>
      </w:r>
    </w:p>
    <w:p w:rsidR="007F3E7F" w:rsidRDefault="007F3E7F" w:rsidP="007F3E7F">
      <w:pPr>
        <w:rPr>
          <w:b/>
          <w:u w:val="single"/>
        </w:rPr>
      </w:pPr>
    </w:p>
    <w:p w:rsidR="007F3E7F" w:rsidRDefault="007F3E7F" w:rsidP="00E10D53">
      <w:pPr>
        <w:jc w:val="center"/>
        <w:rPr>
          <w:b/>
          <w:u w:val="single"/>
        </w:rPr>
      </w:pPr>
    </w:p>
    <w:p w:rsidR="007F3E7F" w:rsidRDefault="007F3E7F" w:rsidP="00E10D53">
      <w:pPr>
        <w:jc w:val="center"/>
        <w:rPr>
          <w:b/>
          <w:u w:val="single"/>
        </w:rPr>
      </w:pPr>
    </w:p>
    <w:p w:rsidR="007F3E7F" w:rsidRDefault="007F3E7F" w:rsidP="00E10D53">
      <w:pPr>
        <w:jc w:val="center"/>
        <w:rPr>
          <w:b/>
          <w:u w:val="single"/>
        </w:rPr>
      </w:pPr>
    </w:p>
    <w:tbl>
      <w:tblPr>
        <w:tblW w:w="9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9"/>
        <w:gridCol w:w="4589"/>
      </w:tblGrid>
      <w:tr w:rsidR="007F3E7F" w:rsidRPr="007F3E7F" w:rsidTr="007F3E7F">
        <w:trPr>
          <w:trHeight w:val="169"/>
        </w:trPr>
        <w:tc>
          <w:tcPr>
            <w:tcW w:w="4589" w:type="dxa"/>
            <w:shd w:val="clear" w:color="auto" w:fill="DEEBF6"/>
          </w:tcPr>
          <w:p w:rsidR="007F3E7F" w:rsidRPr="007F3E7F" w:rsidRDefault="007F3E7F" w:rsidP="00D25196">
            <w:pPr>
              <w:jc w:val="center"/>
              <w:rPr>
                <w:rFonts w:eastAsia="Arial" w:cs="Arial"/>
                <w:sz w:val="24"/>
                <w:szCs w:val="24"/>
              </w:rPr>
            </w:pPr>
            <w:r w:rsidRPr="007F3E7F">
              <w:rPr>
                <w:rFonts w:eastAsia="Arial" w:cs="Arial"/>
                <w:sz w:val="24"/>
                <w:szCs w:val="24"/>
              </w:rPr>
              <w:t>Hours per week</w:t>
            </w:r>
          </w:p>
        </w:tc>
        <w:tc>
          <w:tcPr>
            <w:tcW w:w="4589" w:type="dxa"/>
            <w:shd w:val="clear" w:color="auto" w:fill="DEEBF6"/>
          </w:tcPr>
          <w:p w:rsidR="007F3E7F" w:rsidRPr="007F3E7F" w:rsidRDefault="007F3E7F" w:rsidP="00D25196">
            <w:pPr>
              <w:jc w:val="center"/>
              <w:rPr>
                <w:rFonts w:eastAsia="Arial" w:cs="Arial"/>
                <w:sz w:val="24"/>
                <w:szCs w:val="24"/>
              </w:rPr>
            </w:pPr>
            <w:r w:rsidRPr="007F3E7F">
              <w:rPr>
                <w:rFonts w:eastAsia="Arial" w:cs="Arial"/>
                <w:sz w:val="24"/>
                <w:szCs w:val="24"/>
              </w:rPr>
              <w:t>Fees*</w:t>
            </w:r>
          </w:p>
        </w:tc>
      </w:tr>
      <w:tr w:rsidR="007F3E7F" w:rsidRPr="007F3E7F" w:rsidTr="007F3E7F">
        <w:trPr>
          <w:trHeight w:val="169"/>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0.5 hour</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£3</w:t>
            </w:r>
          </w:p>
        </w:tc>
      </w:tr>
      <w:tr w:rsidR="007F3E7F" w:rsidRPr="007F3E7F" w:rsidTr="007F3E7F">
        <w:trPr>
          <w:trHeight w:val="175"/>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 xml:space="preserve">1 hour </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£6</w:t>
            </w:r>
          </w:p>
        </w:tc>
      </w:tr>
      <w:tr w:rsidR="007F3E7F" w:rsidRPr="007F3E7F" w:rsidTr="007F3E7F">
        <w:trPr>
          <w:trHeight w:val="169"/>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2 hours</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£12</w:t>
            </w:r>
          </w:p>
        </w:tc>
      </w:tr>
      <w:tr w:rsidR="007F3E7F" w:rsidRPr="007F3E7F" w:rsidTr="007F3E7F">
        <w:trPr>
          <w:trHeight w:val="169"/>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2.5 hours</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£15</w:t>
            </w:r>
          </w:p>
        </w:tc>
      </w:tr>
      <w:tr w:rsidR="007F3E7F" w:rsidRPr="007F3E7F" w:rsidTr="007F3E7F">
        <w:trPr>
          <w:trHeight w:val="169"/>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3 hours</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£18</w:t>
            </w:r>
          </w:p>
        </w:tc>
      </w:tr>
      <w:tr w:rsidR="007F3E7F" w:rsidRPr="007F3E7F" w:rsidTr="007F3E7F">
        <w:trPr>
          <w:trHeight w:val="169"/>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3.5 hours</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£21</w:t>
            </w:r>
          </w:p>
        </w:tc>
      </w:tr>
      <w:tr w:rsidR="007F3E7F" w:rsidRPr="007F3E7F" w:rsidTr="007F3E7F">
        <w:trPr>
          <w:trHeight w:val="175"/>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4 hours</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£24</w:t>
            </w:r>
          </w:p>
        </w:tc>
      </w:tr>
      <w:tr w:rsidR="007F3E7F" w:rsidRPr="007F3E7F" w:rsidTr="007F3E7F">
        <w:trPr>
          <w:trHeight w:val="169"/>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4.5 hours</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£27</w:t>
            </w:r>
          </w:p>
        </w:tc>
      </w:tr>
      <w:tr w:rsidR="007F3E7F" w:rsidRPr="007F3E7F" w:rsidTr="007F3E7F">
        <w:trPr>
          <w:trHeight w:val="169"/>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5 hours</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£28</w:t>
            </w:r>
          </w:p>
        </w:tc>
      </w:tr>
      <w:tr w:rsidR="007F3E7F" w:rsidRPr="007F3E7F" w:rsidTr="007F3E7F">
        <w:trPr>
          <w:trHeight w:val="70"/>
        </w:trPr>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1 full day</w:t>
            </w:r>
          </w:p>
        </w:tc>
        <w:tc>
          <w:tcPr>
            <w:tcW w:w="4589" w:type="dxa"/>
          </w:tcPr>
          <w:p w:rsidR="007F3E7F" w:rsidRPr="007F3E7F" w:rsidRDefault="007F3E7F" w:rsidP="00D25196">
            <w:pPr>
              <w:jc w:val="center"/>
              <w:rPr>
                <w:rFonts w:eastAsia="Arial" w:cs="Arial"/>
                <w:sz w:val="24"/>
                <w:szCs w:val="24"/>
              </w:rPr>
            </w:pPr>
            <w:r w:rsidRPr="007F3E7F">
              <w:rPr>
                <w:rFonts w:eastAsia="Arial" w:cs="Arial"/>
                <w:sz w:val="24"/>
                <w:szCs w:val="24"/>
              </w:rPr>
              <w:t>£30</w:t>
            </w:r>
          </w:p>
        </w:tc>
      </w:tr>
    </w:tbl>
    <w:p w:rsidR="007F3E7F" w:rsidRDefault="007F3E7F" w:rsidP="007F3E7F">
      <w:pPr>
        <w:rPr>
          <w:b/>
          <w:u w:val="single"/>
        </w:rPr>
      </w:pPr>
    </w:p>
    <w:p w:rsidR="00E10D53" w:rsidRDefault="00E10D53" w:rsidP="00E10D53">
      <w:pPr>
        <w:jc w:val="center"/>
        <w:rPr>
          <w:b/>
          <w:u w:val="single"/>
        </w:rPr>
      </w:pPr>
      <w:r>
        <w:rPr>
          <w:b/>
          <w:u w:val="single"/>
        </w:rPr>
        <w:t>School Dinners</w:t>
      </w:r>
    </w:p>
    <w:p w:rsidR="00E10D53" w:rsidRDefault="00E10D53" w:rsidP="00E10D53">
      <w:pPr>
        <w:rPr>
          <w:b/>
          <w:u w:val="single"/>
        </w:rPr>
      </w:pPr>
    </w:p>
    <w:p w:rsidR="00E10D53" w:rsidRDefault="00E10D53" w:rsidP="00E10D53">
      <w:pPr>
        <w:rPr>
          <w:b/>
          <w:u w:val="single"/>
        </w:rPr>
      </w:pPr>
      <w:r>
        <w:fldChar w:fldCharType="begin"/>
      </w:r>
      <w:r>
        <w:instrText xml:space="preserve"> INCLUDEPICTURE "http://p8cdn4static.sharpschool.com/UserFiles/Servers/Server_55397/Image/family-at-dinner-table-clipart-1.jpg" \* MERGEFORMATINET </w:instrText>
      </w:r>
      <w:r>
        <w:fldChar w:fldCharType="separate"/>
      </w:r>
      <w:r w:rsidR="00E24D94">
        <w:fldChar w:fldCharType="begin"/>
      </w:r>
      <w:r w:rsidR="00E24D94">
        <w:instrText xml:space="preserve"> INCLUDEPICTURE  "http://p8cdn4static.sharpschool.com/UserFiles/Servers/Server_55397/Image/family-at-dinner-table-clipart-1.jpg" \* MERGEFORMATINET </w:instrText>
      </w:r>
      <w:r w:rsidR="00E24D94">
        <w:fldChar w:fldCharType="separate"/>
      </w:r>
      <w:r w:rsidR="00CF208C">
        <w:fldChar w:fldCharType="begin"/>
      </w:r>
      <w:r w:rsidR="00CF208C">
        <w:instrText xml:space="preserve"> INCLUDEPICTURE  "http://p8cdn4static.sharpschool.com/UserFiles/Servers/Server_55397/Image/family-at-dinner-table-clipart-1.jpg" \* MERGEFORMATINET </w:instrText>
      </w:r>
      <w:r w:rsidR="00CF208C">
        <w:fldChar w:fldCharType="separate"/>
      </w:r>
      <w:r w:rsidR="007F3E7F">
        <w:fldChar w:fldCharType="begin"/>
      </w:r>
      <w:r w:rsidR="007F3E7F">
        <w:instrText xml:space="preserve"> </w:instrText>
      </w:r>
      <w:r w:rsidR="007F3E7F">
        <w:instrText>INCLUDEPICTURE  "http://p8cdn4static.sharpschool.com/UserFiles/Servers/Server_55397/Image/family-at-dinner-table-clipart-1.jpg" \* MERGEFORMATINET</w:instrText>
      </w:r>
      <w:r w:rsidR="007F3E7F">
        <w:instrText xml:space="preserve"> </w:instrText>
      </w:r>
      <w:r w:rsidR="007F3E7F">
        <w:fldChar w:fldCharType="separate"/>
      </w:r>
      <w:r w:rsidR="007F3E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school dinners clip art" style="width:158.25pt;height:93.75pt">
            <v:imagedata r:id="rId10" r:href="rId11"/>
          </v:shape>
        </w:pict>
      </w:r>
      <w:r w:rsidR="007F3E7F">
        <w:fldChar w:fldCharType="end"/>
      </w:r>
      <w:r w:rsidR="00CF208C">
        <w:fldChar w:fldCharType="end"/>
      </w:r>
      <w:r w:rsidR="00E24D94">
        <w:fldChar w:fldCharType="end"/>
      </w:r>
      <w:r>
        <w:fldChar w:fldCharType="end"/>
      </w:r>
    </w:p>
    <w:p w:rsidR="00E10D53" w:rsidRPr="00CB0AAB" w:rsidRDefault="00E10D53" w:rsidP="00E10D53">
      <w:pPr>
        <w:rPr>
          <w:b/>
          <w:u w:val="single"/>
        </w:rPr>
      </w:pPr>
    </w:p>
    <w:p w:rsidR="00E10D53" w:rsidRDefault="00E10D53" w:rsidP="00E10D53">
      <w:r>
        <w:t>Lunch Meals (children)</w:t>
      </w:r>
      <w:r>
        <w:tab/>
      </w:r>
      <w:r>
        <w:tab/>
      </w:r>
      <w:r>
        <w:tab/>
        <w:t xml:space="preserve">              £2.</w:t>
      </w:r>
      <w:r w:rsidR="007F3E7F">
        <w:t>40</w:t>
      </w:r>
    </w:p>
    <w:p w:rsidR="00E10D53" w:rsidRDefault="00E10D53" w:rsidP="00E10D53">
      <w:r>
        <w:t>Lunch Meals (adults)</w:t>
      </w:r>
      <w:r>
        <w:tab/>
      </w:r>
      <w:r>
        <w:tab/>
      </w:r>
      <w:r>
        <w:tab/>
      </w:r>
      <w:r>
        <w:tab/>
        <w:t>£2.</w:t>
      </w:r>
      <w:r w:rsidR="007F3E7F">
        <w:t>80</w:t>
      </w:r>
    </w:p>
    <w:p w:rsidR="00E10D53" w:rsidRDefault="00E10D53" w:rsidP="00E10D53">
      <w:r>
        <w:t>Lunch Meals (Pre School)</w:t>
      </w:r>
      <w:r>
        <w:tab/>
      </w:r>
      <w:r>
        <w:tab/>
      </w:r>
      <w:r>
        <w:tab/>
        <w:t>£</w:t>
      </w:r>
      <w:r w:rsidR="007F3E7F">
        <w:t>2.00</w:t>
      </w:r>
      <w:r>
        <w:t xml:space="preserve"> </w:t>
      </w:r>
    </w:p>
    <w:p w:rsidR="00E10D53" w:rsidRDefault="00E10D53" w:rsidP="00E10D53">
      <w:r>
        <w:t>Milk Charges</w:t>
      </w:r>
      <w:r>
        <w:tab/>
      </w:r>
      <w:r>
        <w:tab/>
      </w:r>
      <w:r>
        <w:tab/>
      </w:r>
      <w:r>
        <w:tab/>
      </w:r>
      <w:r>
        <w:tab/>
        <w:t>£0</w:t>
      </w:r>
      <w:r w:rsidR="007F3E7F">
        <w:t>.28</w:t>
      </w:r>
      <w:r>
        <w:t xml:space="preserve"> per day</w:t>
      </w:r>
    </w:p>
    <w:p w:rsidR="00E10D53" w:rsidRDefault="00E10D53" w:rsidP="00E10D53">
      <w:r>
        <w:t>Toast</w:t>
      </w:r>
      <w:r>
        <w:tab/>
      </w:r>
      <w:r>
        <w:tab/>
      </w:r>
      <w:r>
        <w:tab/>
      </w:r>
      <w:r>
        <w:tab/>
      </w:r>
      <w:r>
        <w:tab/>
      </w:r>
      <w:r>
        <w:tab/>
        <w:t>£0.10 per slice</w:t>
      </w:r>
    </w:p>
    <w:p w:rsidR="00E10D53" w:rsidRDefault="00E10D53" w:rsidP="00E10D53"/>
    <w:p w:rsidR="00E10D53" w:rsidRDefault="00E10D53" w:rsidP="00E10D53"/>
    <w:p w:rsidR="00E10D53" w:rsidRDefault="00E10D53" w:rsidP="00E10D53">
      <w:pPr>
        <w:jc w:val="center"/>
        <w:rPr>
          <w:b/>
          <w:u w:val="single"/>
        </w:rPr>
      </w:pPr>
      <w:r>
        <w:rPr>
          <w:b/>
          <w:u w:val="single"/>
        </w:rPr>
        <w:t>Acorns before and after school c</w:t>
      </w:r>
      <w:r w:rsidRPr="00FB1655">
        <w:rPr>
          <w:b/>
          <w:u w:val="single"/>
        </w:rPr>
        <w:t>lub</w:t>
      </w:r>
    </w:p>
    <w:p w:rsidR="00E10D53" w:rsidRDefault="00E10D53" w:rsidP="00E10D53">
      <w:pPr>
        <w:rPr>
          <w:b/>
          <w:u w:val="single"/>
        </w:rPr>
      </w:pPr>
    </w:p>
    <w:p w:rsidR="00E10D53" w:rsidRDefault="00E10D53" w:rsidP="00E10D53">
      <w:pPr>
        <w:rPr>
          <w:b/>
          <w:u w:val="single"/>
        </w:rPr>
      </w:pPr>
    </w:p>
    <w:p w:rsidR="00E10D53" w:rsidRDefault="00E10D53" w:rsidP="00E10D53">
      <w:pPr>
        <w:rPr>
          <w:b/>
          <w:u w:val="single"/>
        </w:rPr>
      </w:pPr>
      <w:r>
        <w:rPr>
          <w:b/>
          <w:noProof/>
          <w:u w:val="single"/>
        </w:rPr>
        <w:drawing>
          <wp:inline distT="0" distB="0" distL="0" distR="0">
            <wp:extent cx="2152650" cy="847725"/>
            <wp:effectExtent l="0" t="0" r="0" b="9525"/>
            <wp:docPr id="6" name="Picture 6" descr="Aco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rn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847725"/>
                    </a:xfrm>
                    <a:prstGeom prst="rect">
                      <a:avLst/>
                    </a:prstGeom>
                    <a:noFill/>
                    <a:ln>
                      <a:noFill/>
                    </a:ln>
                  </pic:spPr>
                </pic:pic>
              </a:graphicData>
            </a:graphic>
          </wp:inline>
        </w:drawing>
      </w:r>
    </w:p>
    <w:p w:rsidR="00E10D53" w:rsidRDefault="00E10D53" w:rsidP="00E10D53">
      <w:pPr>
        <w:rPr>
          <w:b/>
          <w:u w:val="single"/>
        </w:rPr>
      </w:pPr>
    </w:p>
    <w:p w:rsidR="00E10D53" w:rsidRPr="000F1FCE" w:rsidRDefault="00E10D53" w:rsidP="00E10D53">
      <w:r w:rsidRPr="000F1FCE">
        <w:t>Breakfast Club</w:t>
      </w:r>
      <w:r w:rsidRPr="000F1FCE">
        <w:tab/>
      </w:r>
      <w:r w:rsidRPr="000F1FCE">
        <w:tab/>
      </w:r>
      <w:r w:rsidRPr="000F1FCE">
        <w:tab/>
      </w:r>
      <w:r w:rsidRPr="000F1FCE">
        <w:tab/>
      </w:r>
      <w:r>
        <w:t xml:space="preserve">              </w:t>
      </w:r>
      <w:r w:rsidRPr="000F1FCE">
        <w:t>£</w:t>
      </w:r>
      <w:r w:rsidR="007F3E7F">
        <w:t>4.50</w:t>
      </w:r>
    </w:p>
    <w:p w:rsidR="00E10D53" w:rsidRDefault="00E10D53" w:rsidP="00E10D53">
      <w:r w:rsidRPr="000F1FCE">
        <w:t>Discounted rate</w:t>
      </w:r>
      <w:r>
        <w:t xml:space="preserve"> for sibling</w:t>
      </w:r>
      <w:r>
        <w:tab/>
      </w:r>
      <w:r>
        <w:tab/>
      </w:r>
      <w:r>
        <w:tab/>
      </w:r>
      <w:r w:rsidRPr="000F1FCE">
        <w:t>£</w:t>
      </w:r>
      <w:r w:rsidR="007F3E7F">
        <w:t>4.05</w:t>
      </w:r>
    </w:p>
    <w:p w:rsidR="00E10D53" w:rsidRDefault="00E10D53" w:rsidP="00E10D53">
      <w:r>
        <w:t>After School Club</w:t>
      </w:r>
      <w:r>
        <w:tab/>
      </w:r>
      <w:r>
        <w:tab/>
      </w:r>
      <w:r>
        <w:tab/>
      </w:r>
      <w:r>
        <w:tab/>
      </w:r>
      <w:r w:rsidR="007F3E7F">
        <w:t>£8.00</w:t>
      </w:r>
    </w:p>
    <w:p w:rsidR="00E10D53" w:rsidRDefault="00E10D53" w:rsidP="00E10D53">
      <w:r>
        <w:t>Discounted rate for sibling</w:t>
      </w:r>
      <w:r>
        <w:tab/>
      </w:r>
      <w:r>
        <w:tab/>
      </w:r>
      <w:r>
        <w:tab/>
        <w:t>£</w:t>
      </w:r>
      <w:r w:rsidR="007F3E7F">
        <w:t>7.20</w:t>
      </w:r>
    </w:p>
    <w:p w:rsidR="00E10D53" w:rsidRDefault="00E10D53" w:rsidP="00E10D53"/>
    <w:p w:rsidR="00E10D53" w:rsidRDefault="00E10D53" w:rsidP="00E10D53"/>
    <w:p w:rsidR="00E10D53" w:rsidRDefault="00E10D53" w:rsidP="00E10D53"/>
    <w:p w:rsidR="00E10D53" w:rsidRDefault="00E10D53" w:rsidP="00E10D53">
      <w:pPr>
        <w:rPr>
          <w:b/>
          <w:u w:val="single"/>
        </w:rPr>
      </w:pPr>
    </w:p>
    <w:p w:rsidR="00E10D53" w:rsidRDefault="00E10D53" w:rsidP="00E10D53">
      <w:pPr>
        <w:rPr>
          <w:b/>
          <w:u w:val="single"/>
        </w:rPr>
      </w:pPr>
    </w:p>
    <w:p w:rsidR="00E10D53" w:rsidRDefault="00E10D53" w:rsidP="00E10D53">
      <w:pPr>
        <w:jc w:val="center"/>
        <w:rPr>
          <w:b/>
          <w:u w:val="single"/>
        </w:rPr>
      </w:pPr>
      <w:r>
        <w:rPr>
          <w:b/>
          <w:u w:val="single"/>
        </w:rPr>
        <w:t>Before and After school extra-curricular clubs</w:t>
      </w:r>
    </w:p>
    <w:p w:rsidR="00E10D53" w:rsidRDefault="00E10D53" w:rsidP="00E10D53">
      <w:pPr>
        <w:rPr>
          <w:b/>
          <w:u w:val="single"/>
        </w:rPr>
      </w:pPr>
      <w:r>
        <w:rPr>
          <w:b/>
          <w:noProof/>
          <w:u w:val="single"/>
        </w:rPr>
        <w:drawing>
          <wp:inline distT="0" distB="0" distL="0" distR="0">
            <wp:extent cx="1514475" cy="1371600"/>
            <wp:effectExtent l="0" t="0" r="9525" b="0"/>
            <wp:docPr id="5" name="Picture 5" descr="school_sports_equipment_royalty_free_080825-026146-624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_sports_equipment_royalty_free_080825-026146-62404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1371600"/>
                    </a:xfrm>
                    <a:prstGeom prst="rect">
                      <a:avLst/>
                    </a:prstGeom>
                    <a:noFill/>
                    <a:ln>
                      <a:noFill/>
                    </a:ln>
                  </pic:spPr>
                </pic:pic>
              </a:graphicData>
            </a:graphic>
          </wp:inline>
        </w:drawing>
      </w:r>
    </w:p>
    <w:p w:rsidR="00E10D53" w:rsidRDefault="00E10D53" w:rsidP="00E10D53">
      <w:pPr>
        <w:rPr>
          <w:b/>
          <w:u w:val="single"/>
        </w:rPr>
      </w:pPr>
    </w:p>
    <w:p w:rsidR="00E10D53" w:rsidRPr="000F1FCE" w:rsidRDefault="00E10D53" w:rsidP="00E10D53">
      <w:r>
        <w:t>Club run by outside agency                                        Cost applied by the company running the club</w:t>
      </w:r>
    </w:p>
    <w:p w:rsidR="00E10D53" w:rsidRDefault="00E10D53" w:rsidP="00E10D53">
      <w:pPr>
        <w:rPr>
          <w:b/>
          <w:u w:val="single"/>
        </w:rPr>
      </w:pPr>
    </w:p>
    <w:p w:rsidR="00E10D53" w:rsidRDefault="00E10D53" w:rsidP="00E10D53">
      <w:pPr>
        <w:rPr>
          <w:b/>
          <w:u w:val="single"/>
        </w:rPr>
      </w:pPr>
    </w:p>
    <w:p w:rsidR="00E10D53" w:rsidRDefault="00E10D53" w:rsidP="00E10D53">
      <w:pPr>
        <w:rPr>
          <w:b/>
          <w:u w:val="single"/>
        </w:rPr>
      </w:pPr>
    </w:p>
    <w:p w:rsidR="00E10D53" w:rsidRDefault="00E10D53" w:rsidP="00E10D53">
      <w:pPr>
        <w:rPr>
          <w:b/>
          <w:u w:val="single"/>
        </w:rPr>
      </w:pPr>
    </w:p>
    <w:p w:rsidR="00E10D53" w:rsidRDefault="00E10D53" w:rsidP="00E10D53">
      <w:pPr>
        <w:rPr>
          <w:b/>
          <w:u w:val="single"/>
        </w:rPr>
      </w:pPr>
    </w:p>
    <w:p w:rsidR="00E10D53" w:rsidRDefault="00E10D53" w:rsidP="00E10D53">
      <w:pPr>
        <w:rPr>
          <w:b/>
          <w:u w:val="single"/>
        </w:rPr>
      </w:pPr>
    </w:p>
    <w:p w:rsidR="00E10D53" w:rsidRDefault="00E10D53" w:rsidP="00E10D53">
      <w:pPr>
        <w:jc w:val="center"/>
        <w:rPr>
          <w:b/>
          <w:u w:val="single"/>
        </w:rPr>
      </w:pPr>
      <w:r>
        <w:rPr>
          <w:b/>
          <w:u w:val="single"/>
        </w:rPr>
        <w:t>Music lessons</w:t>
      </w:r>
    </w:p>
    <w:p w:rsidR="00E10D53" w:rsidRDefault="00E10D53" w:rsidP="00E10D53">
      <w:pPr>
        <w:jc w:val="center"/>
        <w:rPr>
          <w:b/>
          <w:u w:val="single"/>
        </w:rPr>
      </w:pPr>
    </w:p>
    <w:p w:rsidR="00E10D53" w:rsidRDefault="00E10D53" w:rsidP="00E10D53">
      <w:pPr>
        <w:rPr>
          <w:b/>
        </w:rPr>
      </w:pPr>
      <w:r w:rsidRPr="004803D0">
        <w:rPr>
          <w:b/>
          <w:noProof/>
        </w:rPr>
        <w:drawing>
          <wp:inline distT="0" distB="0" distL="0" distR="0">
            <wp:extent cx="1266825" cy="1114425"/>
            <wp:effectExtent l="0" t="0" r="9525" b="9525"/>
            <wp:docPr id="4" name="Picture 4" descr="music-no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ic-notes[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825" cy="1114425"/>
                    </a:xfrm>
                    <a:prstGeom prst="rect">
                      <a:avLst/>
                    </a:prstGeom>
                    <a:noFill/>
                    <a:ln>
                      <a:noFill/>
                    </a:ln>
                  </pic:spPr>
                </pic:pic>
              </a:graphicData>
            </a:graphic>
          </wp:inline>
        </w:drawing>
      </w:r>
    </w:p>
    <w:p w:rsidR="00E10D53" w:rsidRDefault="00E10D53" w:rsidP="00E10D53">
      <w:pPr>
        <w:rPr>
          <w:b/>
        </w:rPr>
      </w:pPr>
    </w:p>
    <w:p w:rsidR="00E10D53" w:rsidRDefault="00E10D53" w:rsidP="00E10D53"/>
    <w:p w:rsidR="00E10D53" w:rsidRPr="000F1FCE" w:rsidRDefault="00E10D53" w:rsidP="00E10D53">
      <w:r>
        <w:t>Individual/Group lesson                                  Cost applied by the peripatetic teacher running the lessons</w:t>
      </w:r>
    </w:p>
    <w:p w:rsidR="00E10D53" w:rsidRDefault="00E10D53" w:rsidP="00E10D53">
      <w:pPr>
        <w:rPr>
          <w:b/>
          <w:u w:val="single"/>
        </w:rPr>
      </w:pPr>
    </w:p>
    <w:p w:rsidR="00E10D53" w:rsidRDefault="00E10D53" w:rsidP="00E10D53">
      <w:pPr>
        <w:jc w:val="center"/>
        <w:rPr>
          <w:b/>
          <w:u w:val="single"/>
        </w:rPr>
      </w:pPr>
    </w:p>
    <w:p w:rsidR="008F1DFA" w:rsidRDefault="008F1DFA" w:rsidP="00E10D53">
      <w:pPr>
        <w:jc w:val="center"/>
        <w:rPr>
          <w:b/>
          <w:u w:val="single"/>
        </w:rPr>
      </w:pPr>
      <w:r>
        <w:rPr>
          <w:b/>
          <w:u w:val="single"/>
        </w:rPr>
        <w:t>Trips</w:t>
      </w:r>
    </w:p>
    <w:p w:rsidR="008F1DFA" w:rsidRDefault="008F1DFA" w:rsidP="00E10D53">
      <w:pPr>
        <w:jc w:val="center"/>
        <w:rPr>
          <w:b/>
          <w:u w:val="single"/>
        </w:rPr>
      </w:pPr>
    </w:p>
    <w:p w:rsidR="008F1DFA" w:rsidRPr="000E21DA" w:rsidRDefault="000E21DA" w:rsidP="000E21DA">
      <w:r w:rsidRPr="000E21DA">
        <w:t xml:space="preserve">Varies according to the trip and from year to year. </w:t>
      </w:r>
    </w:p>
    <w:p w:rsidR="00E10D53" w:rsidRDefault="00E10D53" w:rsidP="007F3E7F">
      <w:pPr>
        <w:rPr>
          <w:b/>
          <w:u w:val="single"/>
        </w:rPr>
      </w:pPr>
      <w:bookmarkStart w:id="0" w:name="_GoBack"/>
      <w:bookmarkEnd w:id="0"/>
    </w:p>
    <w:p w:rsidR="00E10D53" w:rsidRDefault="00E10D53" w:rsidP="00E10D53">
      <w:pPr>
        <w:jc w:val="center"/>
        <w:rPr>
          <w:b/>
          <w:u w:val="single"/>
        </w:rPr>
      </w:pPr>
      <w:r>
        <w:rPr>
          <w:b/>
          <w:u w:val="single"/>
        </w:rPr>
        <w:t>School Uniform</w:t>
      </w:r>
    </w:p>
    <w:p w:rsidR="00E10D53" w:rsidRDefault="00E10D53" w:rsidP="00E10D53">
      <w:pPr>
        <w:jc w:val="center"/>
        <w:rPr>
          <w:b/>
          <w:u w:val="single"/>
        </w:rPr>
      </w:pPr>
    </w:p>
    <w:p w:rsidR="00E10D53" w:rsidRDefault="00E10D53" w:rsidP="00E10D53">
      <w:pPr>
        <w:rPr>
          <w:b/>
        </w:rPr>
      </w:pPr>
      <w:r w:rsidRPr="000D4413">
        <w:rPr>
          <w:b/>
          <w:noProof/>
        </w:rPr>
        <w:drawing>
          <wp:inline distT="0" distB="0" distL="0" distR="0">
            <wp:extent cx="1495425" cy="1333500"/>
            <wp:effectExtent l="0" t="0" r="0" b="0"/>
            <wp:docPr id="3" name="Picture 3" descr="Bartolino_y_Bartoli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tolino_y_Bartolina[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1333500"/>
                    </a:xfrm>
                    <a:prstGeom prst="rect">
                      <a:avLst/>
                    </a:prstGeom>
                    <a:noFill/>
                    <a:ln>
                      <a:noFill/>
                    </a:ln>
                  </pic:spPr>
                </pic:pic>
              </a:graphicData>
            </a:graphic>
          </wp:inline>
        </w:drawing>
      </w:r>
    </w:p>
    <w:p w:rsidR="00E10D53" w:rsidRDefault="00E10D53" w:rsidP="00E10D53">
      <w:pPr>
        <w:rPr>
          <w:b/>
        </w:rPr>
      </w:pPr>
    </w:p>
    <w:p w:rsidR="00E10D53" w:rsidRDefault="00E10D53" w:rsidP="00E10D53">
      <w:r w:rsidRPr="0016430C">
        <w:t>Sweatshirt</w:t>
      </w:r>
      <w:r>
        <w:tab/>
      </w:r>
      <w:r>
        <w:tab/>
        <w:t>£</w:t>
      </w:r>
      <w:r w:rsidR="007F3E7F">
        <w:t>10.50</w:t>
      </w:r>
    </w:p>
    <w:p w:rsidR="00E10D53" w:rsidRPr="0016430C" w:rsidRDefault="00E10D53" w:rsidP="00E10D53">
      <w:r>
        <w:t>Cardigan</w:t>
      </w:r>
      <w:r>
        <w:tab/>
      </w:r>
      <w:r>
        <w:tab/>
        <w:t>£1</w:t>
      </w:r>
      <w:r w:rsidR="007F3E7F">
        <w:t>1</w:t>
      </w:r>
      <w:r>
        <w:t>.50</w:t>
      </w:r>
    </w:p>
    <w:p w:rsidR="00E10D53" w:rsidRPr="0016430C" w:rsidRDefault="00E10D53" w:rsidP="00E10D53">
      <w:r w:rsidRPr="0016430C">
        <w:t>Polo Shirt</w:t>
      </w:r>
      <w:r w:rsidRPr="0016430C">
        <w:tab/>
      </w:r>
      <w:r w:rsidRPr="0016430C">
        <w:tab/>
        <w:t>£</w:t>
      </w:r>
      <w:r w:rsidR="007F3E7F">
        <w:t>8</w:t>
      </w:r>
      <w:r w:rsidRPr="0016430C">
        <w:t>.</w:t>
      </w:r>
      <w:r>
        <w:t>50</w:t>
      </w:r>
    </w:p>
    <w:sectPr w:rsidR="00E10D53" w:rsidRPr="0016430C">
      <w:pgSz w:w="11910" w:h="16840"/>
      <w:pgMar w:top="1120" w:right="1560" w:bottom="960" w:left="158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DFA" w:rsidRDefault="008F1DFA">
      <w:r>
        <w:separator/>
      </w:r>
    </w:p>
  </w:endnote>
  <w:endnote w:type="continuationSeparator" w:id="0">
    <w:p w:rsidR="008F1DFA" w:rsidRDefault="008F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DFA" w:rsidRDefault="008F1DF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3700145</wp:posOffset>
              </wp:positionH>
              <wp:positionV relativeFrom="page">
                <wp:posOffset>10059670</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DFA" w:rsidRDefault="008F1DFA">
                          <w:pPr>
                            <w:spacing w:before="12"/>
                            <w:ind w:left="60"/>
                            <w:rPr>
                              <w:rFonts w:ascii="Arial"/>
                              <w:sz w:val="24"/>
                            </w:rPr>
                          </w:pPr>
                          <w:r>
                            <w:fldChar w:fldCharType="begin"/>
                          </w:r>
                          <w:r>
                            <w:rPr>
                              <w:rFonts w:ascii="Arial"/>
                              <w:w w:val="99"/>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35pt;margin-top:792.1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dA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" filled="f" stroked="f">
              <v:textbox inset="0,0,0,0">
                <w:txbxContent>
                  <w:p w:rsidR="008F1DFA" w:rsidRDefault="008F1DFA">
                    <w:pPr>
                      <w:spacing w:before="12"/>
                      <w:ind w:left="60"/>
                      <w:rPr>
                        <w:rFonts w:ascii="Arial"/>
                        <w:sz w:val="24"/>
                      </w:rPr>
                    </w:pPr>
                    <w:r>
                      <w:fldChar w:fldCharType="begin"/>
                    </w:r>
                    <w:r>
                      <w:rPr>
                        <w:rFonts w:ascii="Arial"/>
                        <w:w w:val="99"/>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DFA" w:rsidRDefault="008F1DFA">
      <w:r>
        <w:separator/>
      </w:r>
    </w:p>
  </w:footnote>
  <w:footnote w:type="continuationSeparator" w:id="0">
    <w:p w:rsidR="008F1DFA" w:rsidRDefault="008F1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550E8"/>
    <w:multiLevelType w:val="hybridMultilevel"/>
    <w:tmpl w:val="1CD453FA"/>
    <w:lvl w:ilvl="0" w:tplc="EF74DABC">
      <w:start w:val="1"/>
      <w:numFmt w:val="decimal"/>
      <w:lvlText w:val="%1."/>
      <w:lvlJc w:val="left"/>
      <w:pPr>
        <w:ind w:left="936" w:hanging="721"/>
        <w:jc w:val="left"/>
      </w:pPr>
      <w:rPr>
        <w:rFonts w:ascii="Carlito" w:eastAsia="Carlito" w:hAnsi="Carlito" w:cs="Carlito" w:hint="default"/>
        <w:spacing w:val="-2"/>
        <w:w w:val="100"/>
        <w:sz w:val="22"/>
        <w:szCs w:val="22"/>
        <w:lang w:val="en-US" w:eastAsia="en-US" w:bidi="ar-SA"/>
      </w:rPr>
    </w:lvl>
    <w:lvl w:ilvl="1" w:tplc="DD103EFA">
      <w:numFmt w:val="bullet"/>
      <w:lvlText w:val=""/>
      <w:lvlJc w:val="left"/>
      <w:pPr>
        <w:ind w:left="1656" w:hanging="361"/>
      </w:pPr>
      <w:rPr>
        <w:rFonts w:ascii="Symbol" w:eastAsia="Symbol" w:hAnsi="Symbol" w:cs="Symbol" w:hint="default"/>
        <w:w w:val="100"/>
        <w:sz w:val="22"/>
        <w:szCs w:val="22"/>
        <w:lang w:val="en-US" w:eastAsia="en-US" w:bidi="ar-SA"/>
      </w:rPr>
    </w:lvl>
    <w:lvl w:ilvl="2" w:tplc="87AA026C">
      <w:numFmt w:val="bullet"/>
      <w:lvlText w:val="•"/>
      <w:lvlJc w:val="left"/>
      <w:pPr>
        <w:ind w:left="2449" w:hanging="361"/>
      </w:pPr>
      <w:rPr>
        <w:rFonts w:hint="default"/>
        <w:lang w:val="en-US" w:eastAsia="en-US" w:bidi="ar-SA"/>
      </w:rPr>
    </w:lvl>
    <w:lvl w:ilvl="3" w:tplc="2972750A">
      <w:numFmt w:val="bullet"/>
      <w:lvlText w:val="•"/>
      <w:lvlJc w:val="left"/>
      <w:pPr>
        <w:ind w:left="3238" w:hanging="361"/>
      </w:pPr>
      <w:rPr>
        <w:rFonts w:hint="default"/>
        <w:lang w:val="en-US" w:eastAsia="en-US" w:bidi="ar-SA"/>
      </w:rPr>
    </w:lvl>
    <w:lvl w:ilvl="4" w:tplc="A0DC962C">
      <w:numFmt w:val="bullet"/>
      <w:lvlText w:val="•"/>
      <w:lvlJc w:val="left"/>
      <w:pPr>
        <w:ind w:left="4028" w:hanging="361"/>
      </w:pPr>
      <w:rPr>
        <w:rFonts w:hint="default"/>
        <w:lang w:val="en-US" w:eastAsia="en-US" w:bidi="ar-SA"/>
      </w:rPr>
    </w:lvl>
    <w:lvl w:ilvl="5" w:tplc="8FC046FE">
      <w:numFmt w:val="bullet"/>
      <w:lvlText w:val="•"/>
      <w:lvlJc w:val="left"/>
      <w:pPr>
        <w:ind w:left="4817" w:hanging="361"/>
      </w:pPr>
      <w:rPr>
        <w:rFonts w:hint="default"/>
        <w:lang w:val="en-US" w:eastAsia="en-US" w:bidi="ar-SA"/>
      </w:rPr>
    </w:lvl>
    <w:lvl w:ilvl="6" w:tplc="DD62990A">
      <w:numFmt w:val="bullet"/>
      <w:lvlText w:val="•"/>
      <w:lvlJc w:val="left"/>
      <w:pPr>
        <w:ind w:left="5606" w:hanging="361"/>
      </w:pPr>
      <w:rPr>
        <w:rFonts w:hint="default"/>
        <w:lang w:val="en-US" w:eastAsia="en-US" w:bidi="ar-SA"/>
      </w:rPr>
    </w:lvl>
    <w:lvl w:ilvl="7" w:tplc="953E17C6">
      <w:numFmt w:val="bullet"/>
      <w:lvlText w:val="•"/>
      <w:lvlJc w:val="left"/>
      <w:pPr>
        <w:ind w:left="6396" w:hanging="361"/>
      </w:pPr>
      <w:rPr>
        <w:rFonts w:hint="default"/>
        <w:lang w:val="en-US" w:eastAsia="en-US" w:bidi="ar-SA"/>
      </w:rPr>
    </w:lvl>
    <w:lvl w:ilvl="8" w:tplc="479803A0">
      <w:numFmt w:val="bullet"/>
      <w:lvlText w:val="•"/>
      <w:lvlJc w:val="left"/>
      <w:pPr>
        <w:ind w:left="7185"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3C"/>
    <w:rsid w:val="000E21DA"/>
    <w:rsid w:val="0024493C"/>
    <w:rsid w:val="007F3E7F"/>
    <w:rsid w:val="008F1DFA"/>
    <w:rsid w:val="00AD18AB"/>
    <w:rsid w:val="00CF208C"/>
    <w:rsid w:val="00E10D53"/>
    <w:rsid w:val="00E2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E0631F"/>
  <w15:docId w15:val="{97C4D708-D4B0-464B-8E79-9FF06155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36" w:hanging="721"/>
    </w:pPr>
  </w:style>
  <w:style w:type="paragraph" w:customStyle="1" w:styleId="TableParagraph">
    <w:name w:val="Table Paragraph"/>
    <w:basedOn w:val="Normal"/>
    <w:uiPriority w:val="1"/>
    <w:qFormat/>
    <w:pPr>
      <w:spacing w:line="437" w:lineRule="exact"/>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p8cdn4static.sharpschool.com/UserFiles/Servers/Server_55397/Image/family-at-dinner-table-clipart-1.jpg"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Brookdale Primary School</cp:lastModifiedBy>
  <cp:revision>2</cp:revision>
  <dcterms:created xsi:type="dcterms:W3CDTF">2022-11-21T15:14:00Z</dcterms:created>
  <dcterms:modified xsi:type="dcterms:W3CDTF">2022-11-21T15:14:00Z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PDFium</vt:lpwstr>
  </property>
  <property fmtid="{D5CDD505-2E9C-101B-9397-08002B2CF9AE}" pid="4" name="LastSaved">
    <vt:filetime>2020-01-29T00:00:00Z</vt:filetime>
  </property>
</Properties>
</file>